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E672EE" w:rsidP="00AB7C4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B7C4F" w:rsidRPr="00AB7C4F">
              <w:rPr>
                <w:rFonts w:asciiTheme="majorHAnsi" w:hAnsiTheme="majorHAnsi" w:cs="Arial"/>
                <w:b/>
                <w:sz w:val="18"/>
                <w:szCs w:val="18"/>
              </w:rPr>
              <w:t>Biochemical Methods and Techniques in Medicinal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672E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A37CD">
              <w:rPr>
                <w:rFonts w:asciiTheme="majorHAnsi" w:hAnsiTheme="majorHAnsi" w:cs="Arial"/>
                <w:b/>
                <w:sz w:val="18"/>
                <w:szCs w:val="18"/>
              </w:rPr>
              <w:t>BMTMC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672EE" w:rsidP="005D29B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D29B3">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672EE" w:rsidP="008E3E3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cs="Arial"/>
                <w:b/>
                <w:sz w:val="18"/>
                <w:szCs w:val="18"/>
              </w:rPr>
              <w:t>4</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E672E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061B0D">
                    <w:rPr>
                      <w:rFonts w:asciiTheme="majorHAnsi" w:hAnsiTheme="majorHAnsi" w:cs="Arial"/>
                      <w:b/>
                      <w:sz w:val="18"/>
                      <w:szCs w:val="18"/>
                    </w:rPr>
                  </w:r>
                  <w:r w:rsidR="00061B0D">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672EE" w:rsidP="008E3E3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b/>
                <w:sz w:val="18"/>
                <w:szCs w:val="18"/>
              </w:rPr>
              <w:t>No</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672EE" w:rsidP="008E3E3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b/>
                <w:sz w:val="18"/>
                <w:szCs w:val="18"/>
              </w:rPr>
              <w:t>No</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672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8E3E3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E672EE" w:rsidP="008E3E3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b/>
                <w:sz w:val="18"/>
                <w:szCs w:val="18"/>
              </w:rPr>
              <w:t>1</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E672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cs="Arial"/>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672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672EE" w:rsidP="008E3E3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672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672EE" w:rsidP="008E3E3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b/>
                <w:sz w:val="18"/>
                <w:szCs w:val="18"/>
              </w:rPr>
              <w:t>33,75</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672EE" w:rsidP="008E3E3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cs="Arial"/>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672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672EE" w:rsidP="008E3E3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b/>
                <w:sz w:val="18"/>
                <w:szCs w:val="18"/>
              </w:rPr>
              <w:t>84,98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672EE" w:rsidP="008E3E3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672E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672EE" w:rsidP="008E3E3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cs="Arial"/>
                <w:b/>
                <w:sz w:val="18"/>
                <w:szCs w:val="18"/>
              </w:rPr>
              <w:t>118,73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E672EE" w:rsidP="008E3E3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E672E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672EE" w:rsidP="002A72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A72B9" w:rsidRPr="002A72B9">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672EE" w:rsidP="005D29B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D29B3" w:rsidRPr="005D29B3">
              <w:rPr>
                <w:rFonts w:asciiTheme="majorHAnsi" w:hAnsiTheme="majorHAnsi" w:cs="Arial"/>
                <w:b/>
                <w:sz w:val="18"/>
                <w:szCs w:val="18"/>
              </w:rPr>
              <w:t>Chemistry / Chemistry / Specialization: Medicinal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E672EE" w:rsidP="008E3E3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sidRPr="008E3E3A">
              <w:rPr>
                <w:rFonts w:asciiTheme="majorHAnsi" w:hAnsiTheme="majorHAnsi" w:cs="Arial"/>
                <w:b/>
                <w:sz w:val="18"/>
                <w:szCs w:val="18"/>
              </w:rPr>
              <w:t>Adaleta Softić,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672E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sidRPr="008E3E3A">
              <w:rPr>
                <w:rFonts w:asciiTheme="majorHAnsi" w:hAnsiTheme="majorHAnsi" w:cs="Arial"/>
                <w:b/>
                <w:sz w:val="18"/>
                <w:szCs w:val="18"/>
              </w:rPr>
              <w:t>Acquisition of theoretical and practical knowledge of techniques and methods for working with biomolecules, as well as their application in various spheres of modern society.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672EE" w:rsidP="008E3E3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sidRPr="008E3E3A">
              <w:rPr>
                <w:rFonts w:asciiTheme="majorHAnsi" w:hAnsiTheme="majorHAnsi" w:cs="Arial"/>
                <w:b/>
                <w:sz w:val="18"/>
                <w:szCs w:val="18"/>
              </w:rPr>
              <w:t>Upon successful completion of the course, the student is able to apply the acquired knowledge and skills in the isolation, identification, and characterization of proteins and nucleic acids in real samples. Students will be trained for independent work in laboratories engaged in the analysis of proteins and nucleic acids.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672E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sidRPr="008E3E3A">
              <w:rPr>
                <w:rFonts w:asciiTheme="majorHAnsi" w:hAnsiTheme="majorHAnsi" w:cs="Arial"/>
                <w:b/>
                <w:sz w:val="18"/>
                <w:szCs w:val="18"/>
              </w:rPr>
              <w:t>Methods and techniques for the isolation and purification of proteins and nucleic acids. Protein precipitation and solubilization techniques. Denaturation and renaturation. Chromatographic methods for protein purification; electrophoretic and spectroscopic techniques for protein characterization; colorimetric and mass spectrometric methods for protein determination; radiochemical methods of analysis; and antibody-based derivatization strategies/immunochemical methods for analysis. Methods in clinical chemistry, molecular biomarkers, and associated diseases.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E3E3A" w:rsidRPr="008E3E3A" w:rsidRDefault="00E672EE" w:rsidP="008E3E3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sidRPr="008E3E3A">
              <w:rPr>
                <w:rFonts w:asciiTheme="majorHAnsi" w:hAnsiTheme="majorHAnsi" w:cs="Arial"/>
                <w:b/>
                <w:sz w:val="18"/>
                <w:szCs w:val="18"/>
              </w:rPr>
              <w:t>For the purpose of effective course delivery and the achievement of the expected course outcomes and student competencies by the end of the semester, various teaching methods are employed:</w:t>
            </w:r>
          </w:p>
          <w:p w:rsidR="008E3E3A" w:rsidRPr="008E3E3A" w:rsidRDefault="008E3E3A" w:rsidP="008E3E3A">
            <w:pPr>
              <w:pStyle w:val="NoSpacing"/>
              <w:rPr>
                <w:rFonts w:asciiTheme="majorHAnsi" w:hAnsiTheme="majorHAnsi" w:cs="Arial"/>
                <w:b/>
                <w:sz w:val="18"/>
                <w:szCs w:val="18"/>
              </w:rPr>
            </w:pPr>
            <w:r w:rsidRPr="008E3E3A">
              <w:rPr>
                <w:rFonts w:asciiTheme="majorHAnsi" w:hAnsiTheme="majorHAnsi" w:cs="Arial"/>
                <w:b/>
                <w:sz w:val="18"/>
                <w:szCs w:val="18"/>
              </w:rPr>
              <w:t>– lectures using multimedia tools, active learning techniques, and active student participation and discussion;</w:t>
            </w:r>
          </w:p>
          <w:p w:rsidR="008E3E3A" w:rsidRPr="008E3E3A" w:rsidRDefault="008E3E3A" w:rsidP="008E3E3A">
            <w:pPr>
              <w:pStyle w:val="NoSpacing"/>
              <w:rPr>
                <w:rFonts w:asciiTheme="majorHAnsi" w:hAnsiTheme="majorHAnsi" w:cs="Arial"/>
                <w:b/>
                <w:sz w:val="18"/>
                <w:szCs w:val="18"/>
              </w:rPr>
            </w:pPr>
            <w:r w:rsidRPr="008E3E3A">
              <w:rPr>
                <w:rFonts w:asciiTheme="majorHAnsi" w:hAnsiTheme="majorHAnsi" w:cs="Arial"/>
                <w:b/>
                <w:sz w:val="18"/>
                <w:szCs w:val="18"/>
              </w:rPr>
              <w:t>– preparation of an individual seminar paper;</w:t>
            </w:r>
          </w:p>
          <w:p w:rsidR="00CB72ED" w:rsidRPr="00B96B4F" w:rsidRDefault="008E3E3A" w:rsidP="008E3E3A">
            <w:pPr>
              <w:pStyle w:val="NoSpacing"/>
              <w:rPr>
                <w:rFonts w:asciiTheme="majorHAnsi" w:hAnsiTheme="majorHAnsi" w:cs="Arial"/>
                <w:b/>
                <w:sz w:val="18"/>
                <w:szCs w:val="18"/>
              </w:rPr>
            </w:pPr>
            <w:r w:rsidRPr="008E3E3A">
              <w:rPr>
                <w:rFonts w:asciiTheme="majorHAnsi" w:hAnsiTheme="majorHAnsi" w:cs="Arial"/>
                <w:b/>
                <w:sz w:val="18"/>
                <w:szCs w:val="18"/>
              </w:rPr>
              <w:t>– consultations.</w:t>
            </w:r>
            <w:r w:rsidR="00FB48B6" w:rsidRPr="00B96B4F">
              <w:rPr>
                <w:rFonts w:asciiTheme="majorHAnsi" w:hAnsiTheme="majorHAnsi" w:cs="Arial"/>
                <w:b/>
                <w:sz w:val="18"/>
                <w:szCs w:val="18"/>
              </w:rPr>
              <w:t>     </w:t>
            </w:r>
            <w:r w:rsidR="00E672E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E3E3A" w:rsidRDefault="00E672EE" w:rsidP="008E3E3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E3E3A">
              <w:rPr>
                <w:rFonts w:asciiTheme="majorHAnsi" w:hAnsiTheme="majorHAnsi" w:cs="Arial"/>
                <w:b/>
                <w:sz w:val="18"/>
                <w:szCs w:val="18"/>
              </w:rPr>
              <w:t>A</w:t>
            </w:r>
            <w:r w:rsidR="008E3E3A" w:rsidRPr="008E3E3A">
              <w:rPr>
                <w:rFonts w:asciiTheme="majorHAnsi" w:hAnsiTheme="majorHAnsi" w:cs="Arial"/>
                <w:b/>
                <w:sz w:val="18"/>
                <w:szCs w:val="18"/>
              </w:rPr>
              <w:t>ssessment of student learning is conducted through pre-exam obligations and a final examination. Pre-exam obligations consist of two midterm exams, as well as attendance and participation in lectures. The first midterm exam is held in the 9th week of instruction and covers the material delivered during the first eight weeks, while the second midterm exam is held in the 15th week and covers the material from weeks 9 to 14. The final exam is taken during the official examination periods and includes the midterm components that the student has not passed within the pre-exam obligations or for which the required minimum number of points has not been achieved. A student who passes both midterm exams and successfully defends the seminar paper with a total of 55–100 points within the pre-exam obligations is eligible for grade registration in the first official examination term.</w:t>
            </w:r>
          </w:p>
          <w:p w:rsidR="008E3E3A" w:rsidRPr="008E3E3A" w:rsidRDefault="008E3E3A" w:rsidP="008E3E3A">
            <w:pPr>
              <w:pStyle w:val="NoSpacing"/>
              <w:rPr>
                <w:rFonts w:asciiTheme="majorHAnsi" w:hAnsiTheme="majorHAnsi" w:cs="Arial"/>
                <w:b/>
                <w:sz w:val="18"/>
                <w:szCs w:val="18"/>
              </w:rPr>
            </w:pPr>
          </w:p>
          <w:p w:rsidR="008E3E3A" w:rsidRDefault="008E3E3A" w:rsidP="008E3E3A">
            <w:pPr>
              <w:pStyle w:val="NoSpacing"/>
              <w:rPr>
                <w:rFonts w:asciiTheme="majorHAnsi" w:hAnsiTheme="majorHAnsi" w:cs="Arial"/>
                <w:b/>
                <w:sz w:val="18"/>
                <w:szCs w:val="18"/>
              </w:rPr>
            </w:pPr>
            <w:r w:rsidRPr="008E3E3A">
              <w:rPr>
                <w:rFonts w:asciiTheme="majorHAnsi" w:hAnsiTheme="majorHAnsi" w:cs="Arial"/>
                <w:b/>
                <w:sz w:val="18"/>
                <w:szCs w:val="18"/>
              </w:rPr>
              <w:t>The final grade represents the sum of points obtained from the two midterm exams, the seminar paper, and attendance and participation in lectures.</w:t>
            </w:r>
          </w:p>
          <w:p w:rsidR="008E3E3A" w:rsidRPr="008E3E3A" w:rsidRDefault="008E3E3A" w:rsidP="008E3E3A">
            <w:pPr>
              <w:pStyle w:val="NoSpacing"/>
              <w:rPr>
                <w:rFonts w:asciiTheme="majorHAnsi" w:hAnsiTheme="majorHAnsi" w:cs="Arial"/>
                <w:b/>
                <w:sz w:val="18"/>
                <w:szCs w:val="18"/>
              </w:rPr>
            </w:pPr>
          </w:p>
          <w:p w:rsidR="008E3E3A" w:rsidRDefault="008E3E3A" w:rsidP="008E3E3A">
            <w:pPr>
              <w:pStyle w:val="NoSpacing"/>
              <w:rPr>
                <w:rFonts w:asciiTheme="majorHAnsi" w:hAnsiTheme="majorHAnsi" w:cs="Arial"/>
                <w:b/>
                <w:sz w:val="18"/>
                <w:szCs w:val="18"/>
              </w:rPr>
            </w:pPr>
            <w:r w:rsidRPr="008E3E3A">
              <w:rPr>
                <w:rFonts w:asciiTheme="majorHAnsi" w:hAnsiTheme="majorHAnsi" w:cs="Arial"/>
                <w:b/>
                <w:sz w:val="18"/>
                <w:szCs w:val="18"/>
              </w:rPr>
              <w:t>Point distribution for assessment (min–max):</w:t>
            </w:r>
          </w:p>
          <w:p w:rsidR="008E3E3A" w:rsidRPr="008E3E3A" w:rsidRDefault="008E3E3A" w:rsidP="008E3E3A">
            <w:pPr>
              <w:pStyle w:val="NoSpacing"/>
              <w:rPr>
                <w:rFonts w:asciiTheme="majorHAnsi" w:hAnsiTheme="majorHAnsi" w:cs="Arial"/>
                <w:b/>
                <w:sz w:val="18"/>
                <w:szCs w:val="18"/>
              </w:rPr>
            </w:pPr>
          </w:p>
          <w:p w:rsidR="008E3E3A" w:rsidRPr="008E3E3A" w:rsidRDefault="008E3E3A" w:rsidP="008E3E3A">
            <w:pPr>
              <w:pStyle w:val="NoSpacing"/>
              <w:rPr>
                <w:rFonts w:asciiTheme="majorHAnsi" w:hAnsiTheme="majorHAnsi" w:cs="Arial"/>
                <w:b/>
                <w:sz w:val="18"/>
                <w:szCs w:val="18"/>
              </w:rPr>
            </w:pPr>
            <w:r w:rsidRPr="008E3E3A">
              <w:rPr>
                <w:rFonts w:asciiTheme="majorHAnsi" w:hAnsiTheme="majorHAnsi" w:cs="Arial"/>
                <w:b/>
                <w:sz w:val="18"/>
                <w:szCs w:val="18"/>
              </w:rPr>
              <w:t xml:space="preserve">Attendance and participation in lectures: </w:t>
            </w:r>
            <w:r>
              <w:rPr>
                <w:rFonts w:asciiTheme="majorHAnsi" w:hAnsiTheme="majorHAnsi" w:cs="Arial"/>
                <w:b/>
                <w:sz w:val="18"/>
                <w:szCs w:val="18"/>
              </w:rPr>
              <w:t xml:space="preserve">  </w:t>
            </w:r>
            <w:r w:rsidRPr="008E3E3A">
              <w:rPr>
                <w:rFonts w:asciiTheme="majorHAnsi" w:hAnsiTheme="majorHAnsi" w:cs="Arial"/>
                <w:b/>
                <w:sz w:val="18"/>
                <w:szCs w:val="18"/>
              </w:rPr>
              <w:t>1–5 points</w:t>
            </w:r>
          </w:p>
          <w:p w:rsidR="008E3E3A" w:rsidRPr="008E3E3A" w:rsidRDefault="008E3E3A" w:rsidP="008E3E3A">
            <w:pPr>
              <w:pStyle w:val="NoSpacing"/>
              <w:rPr>
                <w:rFonts w:asciiTheme="majorHAnsi" w:hAnsiTheme="majorHAnsi" w:cs="Arial"/>
                <w:b/>
                <w:sz w:val="18"/>
                <w:szCs w:val="18"/>
              </w:rPr>
            </w:pPr>
            <w:r w:rsidRPr="008E3E3A">
              <w:rPr>
                <w:rFonts w:asciiTheme="majorHAnsi" w:hAnsiTheme="majorHAnsi" w:cs="Arial"/>
                <w:b/>
                <w:sz w:val="18"/>
                <w:szCs w:val="18"/>
              </w:rPr>
              <w:t xml:space="preserve">First midterm exam: </w:t>
            </w:r>
            <w:r>
              <w:rPr>
                <w:rFonts w:asciiTheme="majorHAnsi" w:hAnsiTheme="majorHAnsi" w:cs="Arial"/>
                <w:b/>
                <w:sz w:val="18"/>
                <w:szCs w:val="18"/>
              </w:rPr>
              <w:t xml:space="preserve">                                             </w:t>
            </w:r>
            <w:r w:rsidRPr="008E3E3A">
              <w:rPr>
                <w:rFonts w:asciiTheme="majorHAnsi" w:hAnsiTheme="majorHAnsi" w:cs="Arial"/>
                <w:b/>
                <w:sz w:val="18"/>
                <w:szCs w:val="18"/>
              </w:rPr>
              <w:t>20–35 points</w:t>
            </w:r>
          </w:p>
          <w:p w:rsidR="008E3E3A" w:rsidRPr="008E3E3A" w:rsidRDefault="008E3E3A" w:rsidP="008E3E3A">
            <w:pPr>
              <w:pStyle w:val="NoSpacing"/>
              <w:rPr>
                <w:rFonts w:asciiTheme="majorHAnsi" w:hAnsiTheme="majorHAnsi" w:cs="Arial"/>
                <w:b/>
                <w:sz w:val="18"/>
                <w:szCs w:val="18"/>
              </w:rPr>
            </w:pPr>
            <w:r w:rsidRPr="008E3E3A">
              <w:rPr>
                <w:rFonts w:asciiTheme="majorHAnsi" w:hAnsiTheme="majorHAnsi" w:cs="Arial"/>
                <w:b/>
                <w:sz w:val="18"/>
                <w:szCs w:val="18"/>
              </w:rPr>
              <w:t xml:space="preserve">Second midterm exam: </w:t>
            </w:r>
            <w:r>
              <w:rPr>
                <w:rFonts w:asciiTheme="majorHAnsi" w:hAnsiTheme="majorHAnsi" w:cs="Arial"/>
                <w:b/>
                <w:sz w:val="18"/>
                <w:szCs w:val="18"/>
              </w:rPr>
              <w:t xml:space="preserve">                                        </w:t>
            </w:r>
            <w:r w:rsidRPr="008E3E3A">
              <w:rPr>
                <w:rFonts w:asciiTheme="majorHAnsi" w:hAnsiTheme="majorHAnsi" w:cs="Arial"/>
                <w:b/>
                <w:sz w:val="18"/>
                <w:szCs w:val="18"/>
              </w:rPr>
              <w:t>20–35 points</w:t>
            </w:r>
          </w:p>
          <w:p w:rsidR="008E3E3A" w:rsidRDefault="008E3E3A" w:rsidP="008E3E3A">
            <w:pPr>
              <w:pStyle w:val="NoSpacing"/>
              <w:rPr>
                <w:rFonts w:asciiTheme="majorHAnsi" w:hAnsiTheme="majorHAnsi" w:cs="Arial"/>
                <w:b/>
                <w:sz w:val="18"/>
                <w:szCs w:val="18"/>
              </w:rPr>
            </w:pPr>
            <w:r w:rsidRPr="008E3E3A">
              <w:rPr>
                <w:rFonts w:asciiTheme="majorHAnsi" w:hAnsiTheme="majorHAnsi" w:cs="Arial"/>
                <w:b/>
                <w:sz w:val="18"/>
                <w:szCs w:val="18"/>
              </w:rPr>
              <w:t xml:space="preserve">Seminar paper: </w:t>
            </w:r>
            <w:r>
              <w:rPr>
                <w:rFonts w:asciiTheme="majorHAnsi" w:hAnsiTheme="majorHAnsi" w:cs="Arial"/>
                <w:b/>
                <w:sz w:val="18"/>
                <w:szCs w:val="18"/>
              </w:rPr>
              <w:t xml:space="preserve">                                                       </w:t>
            </w:r>
            <w:r w:rsidRPr="008E3E3A">
              <w:rPr>
                <w:rFonts w:asciiTheme="majorHAnsi" w:hAnsiTheme="majorHAnsi" w:cs="Arial"/>
                <w:b/>
                <w:sz w:val="18"/>
                <w:szCs w:val="18"/>
              </w:rPr>
              <w:t>14–25 points</w:t>
            </w:r>
          </w:p>
          <w:p w:rsidR="008E3E3A" w:rsidRPr="008E3E3A" w:rsidRDefault="008E3E3A" w:rsidP="008E3E3A">
            <w:pPr>
              <w:pStyle w:val="NoSpacing"/>
              <w:rPr>
                <w:rFonts w:asciiTheme="majorHAnsi" w:hAnsiTheme="majorHAnsi" w:cs="Arial"/>
                <w:b/>
                <w:sz w:val="18"/>
                <w:szCs w:val="18"/>
              </w:rPr>
            </w:pPr>
          </w:p>
          <w:p w:rsidR="00CB72ED" w:rsidRPr="00B96B4F" w:rsidRDefault="008E3E3A" w:rsidP="008E3E3A">
            <w:pPr>
              <w:pStyle w:val="NoSpacing"/>
              <w:rPr>
                <w:rFonts w:asciiTheme="majorHAnsi" w:hAnsiTheme="majorHAnsi" w:cs="Arial"/>
                <w:b/>
                <w:sz w:val="18"/>
                <w:szCs w:val="18"/>
              </w:rPr>
            </w:pPr>
            <w:r w:rsidRPr="008E3E3A">
              <w:rPr>
                <w:rFonts w:asciiTheme="majorHAnsi" w:hAnsiTheme="majorHAnsi" w:cs="Arial"/>
                <w:b/>
                <w:sz w:val="18"/>
                <w:szCs w:val="18"/>
              </w:rPr>
              <w:t>TOTAL:</w:t>
            </w:r>
            <w:r>
              <w:rPr>
                <w:rFonts w:asciiTheme="majorHAnsi" w:hAnsiTheme="majorHAnsi" w:cs="Arial"/>
                <w:b/>
                <w:sz w:val="18"/>
                <w:szCs w:val="18"/>
              </w:rPr>
              <w:t xml:space="preserve">                                                                        </w:t>
            </w:r>
            <w:r w:rsidRPr="008E3E3A">
              <w:rPr>
                <w:rFonts w:asciiTheme="majorHAnsi" w:hAnsiTheme="majorHAnsi" w:cs="Arial"/>
                <w:b/>
                <w:sz w:val="18"/>
                <w:szCs w:val="18"/>
              </w:rPr>
              <w:t xml:space="preserve"> 55–100 points</w:t>
            </w:r>
            <w:r w:rsidR="00FB48B6" w:rsidRPr="00B96B4F">
              <w:rPr>
                <w:rFonts w:asciiTheme="majorHAnsi" w:hAnsiTheme="majorHAnsi" w:cs="Arial"/>
                <w:b/>
                <w:sz w:val="18"/>
                <w:szCs w:val="18"/>
              </w:rPr>
              <w:t>   </w:t>
            </w:r>
            <w:r w:rsidR="00E672E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A72B9" w:rsidRPr="002A72B9" w:rsidRDefault="00E672EE" w:rsidP="002A72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A72B9" w:rsidRPr="002A72B9">
              <w:rPr>
                <w:rFonts w:asciiTheme="majorHAnsi" w:hAnsiTheme="majorHAnsi" w:cs="Arial"/>
                <w:b/>
                <w:sz w:val="18"/>
                <w:szCs w:val="18"/>
              </w:rPr>
              <w:t>&lt; 55 points = 5 (five)</w:t>
            </w:r>
          </w:p>
          <w:p w:rsidR="002A72B9" w:rsidRPr="002A72B9" w:rsidRDefault="002A72B9" w:rsidP="002A72B9">
            <w:pPr>
              <w:pStyle w:val="NoSpacing"/>
              <w:rPr>
                <w:rFonts w:asciiTheme="majorHAnsi" w:hAnsiTheme="majorHAnsi" w:cs="Arial"/>
                <w:b/>
                <w:sz w:val="18"/>
                <w:szCs w:val="18"/>
              </w:rPr>
            </w:pPr>
            <w:r w:rsidRPr="002A72B9">
              <w:rPr>
                <w:rFonts w:asciiTheme="majorHAnsi" w:hAnsiTheme="majorHAnsi" w:cs="Arial"/>
                <w:b/>
                <w:sz w:val="18"/>
                <w:szCs w:val="18"/>
              </w:rPr>
              <w:t>55–64 points = 6 (six)</w:t>
            </w:r>
          </w:p>
          <w:p w:rsidR="002A72B9" w:rsidRPr="002A72B9" w:rsidRDefault="002A72B9" w:rsidP="002A72B9">
            <w:pPr>
              <w:pStyle w:val="NoSpacing"/>
              <w:rPr>
                <w:rFonts w:asciiTheme="majorHAnsi" w:hAnsiTheme="majorHAnsi" w:cs="Arial"/>
                <w:b/>
                <w:sz w:val="18"/>
                <w:szCs w:val="18"/>
              </w:rPr>
            </w:pPr>
            <w:r w:rsidRPr="002A72B9">
              <w:rPr>
                <w:rFonts w:asciiTheme="majorHAnsi" w:hAnsiTheme="majorHAnsi" w:cs="Arial"/>
                <w:b/>
                <w:sz w:val="18"/>
                <w:szCs w:val="18"/>
              </w:rPr>
              <w:t>65–74 points = 7 (seven)</w:t>
            </w:r>
          </w:p>
          <w:p w:rsidR="002A72B9" w:rsidRPr="002A72B9" w:rsidRDefault="002A72B9" w:rsidP="002A72B9">
            <w:pPr>
              <w:pStyle w:val="NoSpacing"/>
              <w:rPr>
                <w:rFonts w:asciiTheme="majorHAnsi" w:hAnsiTheme="majorHAnsi" w:cs="Arial"/>
                <w:b/>
                <w:sz w:val="18"/>
                <w:szCs w:val="18"/>
              </w:rPr>
            </w:pPr>
            <w:r w:rsidRPr="002A72B9">
              <w:rPr>
                <w:rFonts w:asciiTheme="majorHAnsi" w:hAnsiTheme="majorHAnsi" w:cs="Arial"/>
                <w:b/>
                <w:sz w:val="18"/>
                <w:szCs w:val="18"/>
              </w:rPr>
              <w:t>75–84 points = 8 (eight)</w:t>
            </w:r>
          </w:p>
          <w:p w:rsidR="002A72B9" w:rsidRPr="002A72B9" w:rsidRDefault="002A72B9" w:rsidP="002A72B9">
            <w:pPr>
              <w:pStyle w:val="NoSpacing"/>
              <w:rPr>
                <w:rFonts w:asciiTheme="majorHAnsi" w:hAnsiTheme="majorHAnsi" w:cs="Arial"/>
                <w:b/>
                <w:sz w:val="18"/>
                <w:szCs w:val="18"/>
              </w:rPr>
            </w:pPr>
            <w:r w:rsidRPr="002A72B9">
              <w:rPr>
                <w:rFonts w:asciiTheme="majorHAnsi" w:hAnsiTheme="majorHAnsi" w:cs="Arial"/>
                <w:b/>
                <w:sz w:val="18"/>
                <w:szCs w:val="18"/>
              </w:rPr>
              <w:t>85–94 points = 9 (nine)</w:t>
            </w:r>
          </w:p>
          <w:p w:rsidR="00CB72ED" w:rsidRPr="00B96B4F" w:rsidRDefault="002A72B9" w:rsidP="002A72B9">
            <w:pPr>
              <w:pStyle w:val="NoSpacing"/>
              <w:rPr>
                <w:rFonts w:asciiTheme="majorHAnsi" w:hAnsiTheme="majorHAnsi" w:cs="Arial"/>
                <w:b/>
                <w:sz w:val="18"/>
                <w:szCs w:val="18"/>
              </w:rPr>
            </w:pPr>
            <w:r w:rsidRPr="002A72B9">
              <w:rPr>
                <w:rFonts w:asciiTheme="majorHAnsi" w:hAnsiTheme="majorHAnsi" w:cs="Arial"/>
                <w:b/>
                <w:sz w:val="18"/>
                <w:szCs w:val="18"/>
              </w:rPr>
              <w:t>95–100 points = 10 (ten)</w:t>
            </w:r>
            <w:r w:rsidR="00FB48B6" w:rsidRPr="00B96B4F">
              <w:rPr>
                <w:rFonts w:asciiTheme="majorHAnsi" w:hAnsiTheme="majorHAnsi" w:cs="Arial"/>
                <w:b/>
                <w:sz w:val="18"/>
                <w:szCs w:val="18"/>
              </w:rPr>
              <w:t>    </w:t>
            </w:r>
            <w:r w:rsidR="00E672E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A72B9" w:rsidRPr="002A72B9" w:rsidRDefault="00E672EE" w:rsidP="002A72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A72B9" w:rsidRPr="002A72B9">
              <w:rPr>
                <w:rFonts w:asciiTheme="majorHAnsi" w:hAnsiTheme="majorHAnsi" w:cs="Arial"/>
                <w:b/>
                <w:sz w:val="18"/>
                <w:szCs w:val="18"/>
              </w:rPr>
              <w:t xml:space="preserve">A. Softić, Imunohemijske tehnike, Soreli, Tuzla, 2017. </w:t>
            </w:r>
          </w:p>
          <w:p w:rsidR="00CB72ED" w:rsidRPr="00B96B4F" w:rsidRDefault="002A72B9" w:rsidP="002A72B9">
            <w:pPr>
              <w:pStyle w:val="NoSpacing"/>
              <w:rPr>
                <w:rFonts w:asciiTheme="majorHAnsi" w:hAnsiTheme="majorHAnsi" w:cs="Arial"/>
                <w:b/>
                <w:sz w:val="18"/>
                <w:szCs w:val="18"/>
              </w:rPr>
            </w:pPr>
            <w:r w:rsidRPr="002A72B9">
              <w:rPr>
                <w:rFonts w:asciiTheme="majorHAnsi" w:hAnsiTheme="majorHAnsi" w:cs="Arial"/>
                <w:b/>
                <w:sz w:val="18"/>
                <w:szCs w:val="18"/>
              </w:rPr>
              <w:t xml:space="preserve">Lejla Begić, Selma Berbić, Zlata Mujagić, Sadik Mehikić. Praktikum iz biohemije sa teoretskim osnovama, PrintCom, Tuzla, 2003.   </w:t>
            </w:r>
            <w:r w:rsidR="00FB48B6" w:rsidRPr="00B96B4F">
              <w:rPr>
                <w:rFonts w:asciiTheme="majorHAnsi" w:hAnsiTheme="majorHAnsi" w:cs="Arial"/>
                <w:b/>
                <w:sz w:val="18"/>
                <w:szCs w:val="18"/>
              </w:rPr>
              <w:t> </w:t>
            </w:r>
            <w:r w:rsidR="00E672E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672EE" w:rsidP="002A72B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A72B9" w:rsidRPr="002A72B9">
              <w:rPr>
                <w:rFonts w:asciiTheme="majorHAnsi" w:hAnsiTheme="majorHAnsi" w:cs="Arial"/>
                <w:b/>
                <w:sz w:val="18"/>
                <w:szCs w:val="18"/>
              </w:rPr>
              <w:t xml:space="preserve">Nelson and Cox, Lehninger Principles of Biochemistry, 4th Edition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672EE">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672EE" w:rsidP="00792F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A72B9">
              <w:rPr>
                <w:rFonts w:asciiTheme="majorHAnsi" w:hAnsiTheme="majorHAnsi" w:cs="Arial"/>
                <w:b/>
                <w:sz w:val="18"/>
                <w:szCs w:val="18"/>
              </w:rPr>
              <w:t>202</w:t>
            </w:r>
            <w:r w:rsidR="00792FBF">
              <w:rPr>
                <w:rFonts w:asciiTheme="majorHAnsi" w:hAnsiTheme="majorHAnsi" w:cs="Arial"/>
                <w:b/>
                <w:sz w:val="18"/>
                <w:szCs w:val="18"/>
              </w:rPr>
              <w:t>4</w:t>
            </w:r>
            <w:r w:rsidR="002A72B9">
              <w:rPr>
                <w:rFonts w:asciiTheme="majorHAnsi" w:hAnsiTheme="majorHAnsi" w:cs="Arial"/>
                <w:b/>
                <w:sz w:val="18"/>
                <w:szCs w:val="18"/>
              </w:rPr>
              <w:t>/2</w:t>
            </w:r>
            <w:r w:rsidR="00792FBF">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E672EE">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7A37CD">
              <w:rPr>
                <w:rFonts w:asciiTheme="majorHAnsi" w:hAnsiTheme="majorHAnsi" w:cs="Arial"/>
                <w:b/>
                <w:spacing w:val="215"/>
                <w:sz w:val="18"/>
                <w:szCs w:val="18"/>
              </w:rPr>
              <w:t>    </w:t>
            </w:r>
            <w:r w:rsidR="00FB48B6" w:rsidRPr="007A37CD">
              <w:rPr>
                <w:rFonts w:asciiTheme="majorHAnsi" w:hAnsiTheme="majorHAnsi" w:cs="Arial"/>
                <w:b/>
                <w:spacing w:val="3"/>
                <w:sz w:val="18"/>
                <w:szCs w:val="18"/>
              </w:rPr>
              <w:t> </w:t>
            </w:r>
            <w:r w:rsidRPr="007A37CD">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B0D" w:rsidRDefault="00061B0D">
      <w:pPr>
        <w:spacing w:line="240" w:lineRule="auto"/>
      </w:pPr>
      <w:r>
        <w:separator/>
      </w:r>
    </w:p>
  </w:endnote>
  <w:endnote w:type="continuationSeparator" w:id="0">
    <w:p w:rsidR="00061B0D" w:rsidRDefault="00061B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E672E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A37CD">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E672EE">
            <w:rPr>
              <w:rFonts w:ascii="Cambria" w:hAnsi="Cambria" w:cs="Calibri"/>
              <w:sz w:val="16"/>
              <w:szCs w:val="16"/>
            </w:rPr>
            <w:fldChar w:fldCharType="begin"/>
          </w:r>
          <w:r w:rsidR="00FB48B6">
            <w:rPr>
              <w:rFonts w:ascii="Cambria" w:hAnsi="Cambria" w:cs="Calibri"/>
              <w:sz w:val="16"/>
              <w:szCs w:val="16"/>
            </w:rPr>
            <w:instrText xml:space="preserve"> PAGE </w:instrText>
          </w:r>
          <w:r w:rsidR="00E672EE">
            <w:rPr>
              <w:rFonts w:ascii="Cambria" w:hAnsi="Cambria" w:cs="Calibri"/>
              <w:sz w:val="16"/>
              <w:szCs w:val="16"/>
            </w:rPr>
            <w:fldChar w:fldCharType="separate"/>
          </w:r>
          <w:r w:rsidR="007A37CD">
            <w:rPr>
              <w:rFonts w:ascii="Cambria" w:hAnsi="Cambria" w:cs="Calibri"/>
              <w:noProof/>
              <w:sz w:val="16"/>
              <w:szCs w:val="16"/>
            </w:rPr>
            <w:t>1</w:t>
          </w:r>
          <w:r w:rsidR="00E672EE">
            <w:rPr>
              <w:rFonts w:ascii="Cambria" w:hAnsi="Cambria" w:cs="Calibri"/>
              <w:sz w:val="16"/>
              <w:szCs w:val="16"/>
            </w:rPr>
            <w:fldChar w:fldCharType="end"/>
          </w:r>
          <w:r w:rsidR="00FB48B6">
            <w:rPr>
              <w:rFonts w:ascii="Cambria" w:hAnsi="Cambria" w:cs="Calibri"/>
              <w:sz w:val="16"/>
              <w:szCs w:val="16"/>
            </w:rPr>
            <w:t>/</w:t>
          </w:r>
          <w:r w:rsidR="00E672EE">
            <w:rPr>
              <w:rFonts w:ascii="Cambria" w:hAnsi="Cambria" w:cs="Calibri"/>
              <w:sz w:val="16"/>
              <w:szCs w:val="16"/>
            </w:rPr>
            <w:fldChar w:fldCharType="begin"/>
          </w:r>
          <w:r w:rsidR="00FB48B6">
            <w:rPr>
              <w:rFonts w:ascii="Cambria" w:hAnsi="Cambria" w:cs="Calibri"/>
              <w:sz w:val="16"/>
              <w:szCs w:val="16"/>
            </w:rPr>
            <w:instrText xml:space="preserve"> NUMPAGES  </w:instrText>
          </w:r>
          <w:r w:rsidR="00E672EE">
            <w:rPr>
              <w:rFonts w:ascii="Cambria" w:hAnsi="Cambria" w:cs="Calibri"/>
              <w:sz w:val="16"/>
              <w:szCs w:val="16"/>
            </w:rPr>
            <w:fldChar w:fldCharType="separate"/>
          </w:r>
          <w:r w:rsidR="007A37CD">
            <w:rPr>
              <w:rFonts w:ascii="Cambria" w:hAnsi="Cambria" w:cs="Calibri"/>
              <w:noProof/>
              <w:sz w:val="16"/>
              <w:szCs w:val="16"/>
            </w:rPr>
            <w:t>3</w:t>
          </w:r>
          <w:r w:rsidR="00E672EE">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B0D" w:rsidRDefault="00061B0D">
      <w:pPr>
        <w:spacing w:after="0"/>
      </w:pPr>
      <w:r>
        <w:separator/>
      </w:r>
    </w:p>
  </w:footnote>
  <w:footnote w:type="continuationSeparator" w:id="0">
    <w:p w:rsidR="00061B0D" w:rsidRDefault="00061B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1B0D"/>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47C04"/>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2B9"/>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410C7"/>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66D6"/>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29B3"/>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2FBF"/>
    <w:rsid w:val="00795A1E"/>
    <w:rsid w:val="00796127"/>
    <w:rsid w:val="007A10B1"/>
    <w:rsid w:val="007A37CD"/>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E3E3A"/>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B7C4F"/>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3188"/>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05011"/>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672EE"/>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0E0A5"/>
  <w15:docId w15:val="{4A852E07-9F22-484D-9709-A404BC800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1C69E-D441-443D-88F6-D80C99011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8</cp:revision>
  <cp:lastPrinted>2024-03-25T13:56:00Z</cp:lastPrinted>
  <dcterms:created xsi:type="dcterms:W3CDTF">2026-04-25T04:33:00Z</dcterms:created>
  <dcterms:modified xsi:type="dcterms:W3CDTF">2026-04-27T11:16:00Z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